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A felsőoktatási törvény módosításáról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A Rajk László Szakkollégium a következő pontokban szeretne reagálni az elmúlt napok eseményeire: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1. Egyetértünk a szakkollégiumok által aláírt nyilatkozat tartalmával és további lépéseket sürgetünk, mert egy nyilatkozat kiadását nem érezzük elegendően nagy súlyú reakciónak.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2. Elfogadhatatlannak, szégyenteljesnek tartjuk a benyújtott törvényjavaslatot, amely nem csak a CEU-t, de az egész felsőoktatást sújtja.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3. Ez alapján minőségi egyetemeket szüntethet meg egy tollvonással a mindenkori kormány: így egy eddig létező kormányokon átívelő konszenzust törne meg. Innentől kérdésessé válna akár az egyházi egyetemek, vagy bármely magánegyetem léte is. Ugyanezzel a logikával, határon túli magyar egyetemeket is hasonló könnyedséggel szüntethetnek meg a helyi kormányzatok.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4. Rendkívüli megbeszélésre kezdeményeztük a Szakkollégiumok Egyeztető Fórumának összehívását.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5. Azt szeretnénk, hogy minden szakkollégium felhívja véleménynyilvánításra saját egyetemi vezetését és a hallgatói képviseletét.</w:t>
      </w:r>
    </w:p>
    <w:p w:rsidR="005639C1" w:rsidRPr="005639C1" w:rsidRDefault="005639C1" w:rsidP="005639C1">
      <w:pPr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>6. A szakkollégiumok közvetlenül alig hatnak a közvéleményre vagy a kormányzatra. Viszont saját környezetükben komoly véleményformáló szerepük van – felelősségünk, hogy egy széleskörű kiállás megszervezésében is részt vállaljunk.</w:t>
      </w: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br w:type="page"/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</w:pP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inherit" w:eastAsia="Times New Roman" w:hAnsi="inherit" w:cs="Times New Roman"/>
          <w:bCs/>
          <w:color w:val="1D2129"/>
          <w:sz w:val="26"/>
          <w:szCs w:val="26"/>
          <w:lang w:eastAsia="hu-HU"/>
        </w:rPr>
        <w:t xml:space="preserve">A STATEMENT OF SOLIDARITY FROM HUNGARIAN COLLEGES OF ADVANCED STUDY IN SUPPORT OF CENTRAL EUROPEAN UNIVERSITY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members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signatory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colleges,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express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solidarity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with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Central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European University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wake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a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draft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amendment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Hungary’s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higher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education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law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threatening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survival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CEU.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longstanding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institutions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Hungarian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higher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education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system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Colleges of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are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independent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self-managed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student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organizations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dedicated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nurturing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varied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talents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skills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members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foundational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values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include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supporting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excellence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academia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standing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autonomy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higher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education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institutions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promoting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nonpartisan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participation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democratic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public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life.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believe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CEU is an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integral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part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Hungarian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higher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education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system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contribution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both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local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academic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community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education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future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leaders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is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significant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indisputable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–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nurturing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talent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is a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mission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shared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by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CEU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Colleges.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Several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faculty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members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past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students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University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assist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participate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collegiate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academic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work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helping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uphold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high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standards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Colleges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are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known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Hungarian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students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today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programs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degrees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offered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by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CEU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present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alternative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education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opportunities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that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similar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level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would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only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be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available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abroad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CEU plays a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very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important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role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both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keeping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Hungarian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students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members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in Hungary, and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leveraging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their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skills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talents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home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Central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European University is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firmly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part of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Hungarian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academic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collegiate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community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Based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on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shared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values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consider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it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our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responsibility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to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stand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with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University’s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leadership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,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faculty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and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students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.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ELTE Angelusz Róbert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Social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Sciences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Community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of ELTE Bibó István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Architecture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Janus Pannonius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Economic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Kepes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György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Kerényi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Károly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Liska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Tibor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Mérei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Ferenc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Rajk László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Széchenyi István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5639C1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Szent Ignác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Jesuit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</w:p>
    <w:p w:rsidR="00C61C49" w:rsidRPr="005639C1" w:rsidRDefault="005639C1" w:rsidP="005639C1">
      <w:pPr>
        <w:shd w:val="clear" w:color="auto" w:fill="FFFFFF"/>
        <w:spacing w:line="240" w:lineRule="auto"/>
        <w:jc w:val="both"/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</w:pPr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College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for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Advanced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Studies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in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Social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proofErr w:type="spellStart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>Theory</w:t>
      </w:r>
      <w:proofErr w:type="spellEnd"/>
      <w:r w:rsidRPr="005639C1">
        <w:rPr>
          <w:rFonts w:ascii="Georgia" w:eastAsia="Times New Roman" w:hAnsi="Georgia" w:cs="Times New Roman"/>
          <w:color w:val="1D2129"/>
          <w:sz w:val="26"/>
          <w:szCs w:val="26"/>
          <w:lang w:eastAsia="hu-HU"/>
        </w:rPr>
        <w:t xml:space="preserve"> </w:t>
      </w:r>
      <w:bookmarkStart w:id="0" w:name="_GoBack"/>
      <w:bookmarkEnd w:id="0"/>
    </w:p>
    <w:sectPr w:rsidR="00C61C49" w:rsidRPr="00563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C1"/>
    <w:rsid w:val="005639C1"/>
    <w:rsid w:val="00C6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77D7"/>
  <w15:chartTrackingRefBased/>
  <w15:docId w15:val="{5C3FC600-4B18-455E-8D18-EA497086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4yxo">
    <w:name w:val="_4yxo"/>
    <w:basedOn w:val="Bekezdsalapbettpusa"/>
    <w:rsid w:val="00563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1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3676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18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61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92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05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26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15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765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077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785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25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04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53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928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522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74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01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Matzner Daniel</dc:creator>
  <cp:keywords/>
  <dc:description/>
  <cp:lastModifiedBy>Matzner Daniel</cp:lastModifiedBy>
  <cp:revision>1</cp:revision>
  <dcterms:created xsi:type="dcterms:W3CDTF">2017-04-01T23:17:00Z</dcterms:created>
  <dcterms:modified xsi:type="dcterms:W3CDTF">2017-04-01T23:20:00Z</dcterms:modified>
</cp:coreProperties>
</file>